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308727</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Inchon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Korea,</w:t>
      </w:r>
      <w:r>
        <w:rPr>
          <w:rFonts w:hint="eastAsia" w:ascii="Arial" w:hAnsi="Arial" w:eastAsia="宋体" w:cs="Arial"/>
          <w:b/>
          <w:sz w:val="24"/>
          <w:szCs w:val="24"/>
          <w:highlight w:val="none"/>
          <w:lang w:val="en-US" w:eastAsia="zh-CN"/>
        </w:rPr>
        <w:t xml:space="preserve"> 22 </w:t>
      </w:r>
      <w:r>
        <w:rPr>
          <w:rFonts w:ascii="Arial" w:hAnsi="Arial" w:cs="Arial"/>
          <w:b/>
          <w:bCs/>
          <w:sz w:val="24"/>
          <w:szCs w:val="24"/>
        </w:rPr>
        <w:t>–</w:t>
      </w:r>
      <w:r>
        <w:rPr>
          <w:rFonts w:hint="eastAsia" w:ascii="Arial" w:hAnsi="Arial" w:eastAsia="宋体" w:cs="Arial"/>
          <w:b/>
          <w:bCs/>
          <w:sz w:val="24"/>
          <w:szCs w:val="24"/>
          <w:lang w:val="en-US" w:eastAsia="zh-CN"/>
        </w:rPr>
        <w:t xml:space="preserve"> </w:t>
      </w:r>
      <w:r>
        <w:rPr>
          <w:rFonts w:hint="eastAsia" w:ascii="Arial" w:hAnsi="Arial" w:eastAsia="宋体" w:cs="Arial"/>
          <w:b/>
          <w:sz w:val="24"/>
          <w:szCs w:val="24"/>
          <w:highlight w:val="none"/>
          <w:lang w:val="en-US" w:eastAsia="zh-CN"/>
        </w:rPr>
        <w:t>26 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RLM, BFD and CBD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8.8.3.3</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Some discussion were held around the enhancement of RLM, BFD/CBD for the UE capable of simultaneous multi-panel reception and the achieved agreements were captured in [2]. While still some issues are suspending, in this paper, we provide some further analysis on RLM, BFD/CBD.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1"/>
                <w:numId w:val="6"/>
              </w:numPr>
              <w:tabs>
                <w:tab w:val="clear" w:pos="576"/>
              </w:tabs>
              <w:rPr>
                <w:sz w:val="24"/>
                <w:szCs w:val="24"/>
              </w:rPr>
            </w:pPr>
            <w:r>
              <w:rPr>
                <w:sz w:val="24"/>
                <w:szCs w:val="24"/>
              </w:rPr>
              <w:t>Sub-topic 2-1: Cell specific RLM and BFD/CBD</w:t>
            </w:r>
          </w:p>
          <w:p>
            <w:pPr>
              <w:spacing w:after="120" w:afterLines="50"/>
              <w:rPr>
                <w:b/>
                <w:bCs/>
                <w:color w:val="0070C0"/>
                <w:szCs w:val="24"/>
                <w:lang w:eastAsia="zh-CN"/>
              </w:rPr>
            </w:pPr>
            <w:r>
              <w:rPr>
                <w:b/>
                <w:bCs/>
                <w:color w:val="0070C0"/>
                <w:szCs w:val="24"/>
                <w:lang w:eastAsia="zh-CN"/>
              </w:rPr>
              <w:t>&lt;</w:t>
            </w:r>
            <w:r>
              <w:rPr>
                <w:b/>
                <w:bCs/>
                <w:color w:val="0070C0"/>
                <w:szCs w:val="24"/>
                <w:highlight w:val="green"/>
                <w:lang w:eastAsia="zh-CN"/>
              </w:rPr>
              <w:t xml:space="preserve">Agreement </w:t>
            </w:r>
            <w:r>
              <w:rPr>
                <w:b/>
                <w:bCs/>
                <w:color w:val="0070C0"/>
                <w:szCs w:val="24"/>
                <w:lang w:eastAsia="zh-CN"/>
              </w:rPr>
              <w:t>&gt;:</w:t>
            </w:r>
          </w:p>
          <w:p>
            <w:pPr>
              <w:pStyle w:val="27"/>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No further discussion on TRP specific RLM as there is no such procedure in existing specification.</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2-1-2: Number of samples</w:t>
            </w:r>
          </w:p>
          <w:p>
            <w:pPr>
              <w:spacing w:after="120" w:afterLines="50"/>
              <w:rPr>
                <w:b/>
                <w:bCs/>
                <w:color w:val="0070C0"/>
                <w:szCs w:val="24"/>
                <w:lang w:eastAsia="zh-CN"/>
              </w:rPr>
            </w:pPr>
            <w:r>
              <w:rPr>
                <w:b/>
                <w:bCs/>
                <w:color w:val="0070C0"/>
                <w:szCs w:val="24"/>
                <w:lang w:eastAsia="zh-CN"/>
              </w:rPr>
              <w:t>&lt;</w:t>
            </w:r>
            <w:r>
              <w:rPr>
                <w:b/>
                <w:bCs/>
                <w:color w:val="0070C0"/>
                <w:szCs w:val="24"/>
                <w:highlight w:val="green"/>
                <w:lang w:eastAsia="zh-CN"/>
              </w:rPr>
              <w:t xml:space="preserve">Agreement </w:t>
            </w:r>
            <w:r>
              <w:rPr>
                <w:b/>
                <w:bCs/>
                <w:color w:val="0070C0"/>
                <w:szCs w:val="24"/>
                <w:lang w:eastAsia="zh-CN"/>
              </w:rPr>
              <w:t>&gt;:</w:t>
            </w:r>
          </w:p>
          <w:p>
            <w:pPr>
              <w:pStyle w:val="27"/>
              <w:numPr>
                <w:ilvl w:val="0"/>
                <w:numId w:val="3"/>
              </w:numPr>
              <w:overflowPunct/>
              <w:autoSpaceDE/>
              <w:autoSpaceDN/>
              <w:adjustRightInd/>
              <w:ind w:firstLineChars="0"/>
              <w:jc w:val="both"/>
              <w:textAlignment w:val="auto"/>
              <w:rPr>
                <w:i/>
                <w:iCs/>
                <w:sz w:val="22"/>
                <w:szCs w:val="22"/>
              </w:rPr>
            </w:pPr>
            <w:r>
              <w:t>For RLM with multi-Rx chain operation, the same number of samples M</w:t>
            </w:r>
            <w:r>
              <w:rPr>
                <w:vertAlign w:val="subscript"/>
              </w:rPr>
              <w:t>out</w:t>
            </w:r>
            <w:r>
              <w:t xml:space="preserve"> and M</w:t>
            </w:r>
            <w:r>
              <w:rPr>
                <w:vertAlign w:val="subscript"/>
              </w:rPr>
              <w:t>in</w:t>
            </w:r>
            <w:r>
              <w:t xml:space="preserve"> are used as in Rel-17.</w:t>
            </w:r>
          </w:p>
          <w:p>
            <w:pPr>
              <w:pStyle w:val="27"/>
              <w:numPr>
                <w:ilvl w:val="0"/>
                <w:numId w:val="3"/>
              </w:numPr>
              <w:overflowPunct/>
              <w:autoSpaceDE/>
              <w:autoSpaceDN/>
              <w:adjustRightInd/>
              <w:ind w:firstLineChars="0"/>
              <w:jc w:val="both"/>
              <w:textAlignment w:val="auto"/>
              <w:rPr>
                <w:b/>
                <w:bCs/>
                <w:color w:val="0070C0"/>
                <w:szCs w:val="24"/>
                <w:lang w:eastAsia="zh-CN"/>
              </w:rPr>
            </w:pPr>
            <w:r>
              <w:rPr>
                <w:iCs/>
                <w:szCs w:val="22"/>
              </w:rPr>
              <w:t>For link recovery</w:t>
            </w:r>
            <w:r>
              <w:t xml:space="preserve"> with multi-Rx chain operation, the same number of samples M</w:t>
            </w:r>
            <w:r>
              <w:rPr>
                <w:vertAlign w:val="subscript"/>
              </w:rPr>
              <w:t>BFD</w:t>
            </w:r>
            <w:r>
              <w:t xml:space="preserve"> and M</w:t>
            </w:r>
            <w:r>
              <w:rPr>
                <w:vertAlign w:val="subscript"/>
              </w:rPr>
              <w:t>CBD</w:t>
            </w:r>
            <w:r>
              <w:t xml:space="preserve"> are used as in Rel-17.</w:t>
            </w:r>
          </w:p>
          <w:p>
            <w:pPr>
              <w:outlineLvl w:val="2"/>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2-1-3: PDCCH configuration</w:t>
            </w:r>
          </w:p>
          <w:p>
            <w:pPr>
              <w:spacing w:after="120" w:afterLines="50"/>
              <w:rPr>
                <w:b/>
                <w:bCs/>
                <w:color w:val="0070C0"/>
                <w:szCs w:val="24"/>
                <w:lang w:eastAsia="zh-CN"/>
              </w:rPr>
            </w:pPr>
            <w:r>
              <w:rPr>
                <w:b/>
                <w:bCs/>
                <w:color w:val="0070C0"/>
                <w:szCs w:val="24"/>
                <w:lang w:eastAsia="zh-CN"/>
              </w:rPr>
              <w:t>&lt;</w:t>
            </w:r>
            <w:r>
              <w:rPr>
                <w:b/>
                <w:bCs/>
                <w:color w:val="0070C0"/>
                <w:szCs w:val="24"/>
                <w:highlight w:val="green"/>
                <w:lang w:eastAsia="zh-CN"/>
              </w:rPr>
              <w:t xml:space="preserve">Agreement </w:t>
            </w:r>
            <w:r>
              <w:rPr>
                <w:b/>
                <w:bCs/>
                <w:color w:val="0070C0"/>
                <w:szCs w:val="24"/>
                <w:lang w:eastAsia="zh-CN"/>
              </w:rPr>
              <w:t>&gt;:</w:t>
            </w:r>
          </w:p>
          <w:p>
            <w:pPr>
              <w:pStyle w:val="27"/>
              <w:numPr>
                <w:ilvl w:val="0"/>
                <w:numId w:val="3"/>
              </w:numPr>
              <w:ind w:firstLineChars="0"/>
              <w:jc w:val="both"/>
            </w:pPr>
            <w:r>
              <w:t>For RLM with multi-Rx chain operation, the same PDCCH transmission configuration is used as in Rel-17.</w:t>
            </w:r>
          </w:p>
          <w:p>
            <w:pPr>
              <w:pStyle w:val="27"/>
              <w:numPr>
                <w:ilvl w:val="0"/>
                <w:numId w:val="3"/>
              </w:numPr>
              <w:ind w:firstLineChars="0"/>
              <w:jc w:val="both"/>
              <w:rPr>
                <w:rFonts w:hint="eastAsia" w:eastAsia="宋体"/>
                <w:color w:val="auto"/>
                <w:sz w:val="20"/>
                <w:szCs w:val="20"/>
                <w:vertAlign w:val="baseline"/>
                <w:lang w:val="en-US" w:eastAsia="zh-CN"/>
              </w:rPr>
            </w:pPr>
            <w:r>
              <w:t>For link recovery with multi-Rx chain operation, the same PDCCH transmission configuration is used as in Rel-17.</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Regarding to the scheduling restriction and measurement restriction, similar analysis as that for L1-RSRP measurement, it can be shown in another paper </w:t>
      </w:r>
      <w:r>
        <w:rPr>
          <w:rFonts w:hint="eastAsia" w:eastAsia="宋体"/>
          <w:color w:val="auto"/>
          <w:sz w:val="20"/>
          <w:szCs w:val="20"/>
          <w:highlight w:val="none"/>
          <w:lang w:val="en-US" w:eastAsia="zh-CN"/>
        </w:rPr>
        <w:t>from us</w:t>
      </w:r>
      <w:r>
        <w:rPr>
          <w:rFonts w:hint="eastAsia" w:eastAsia="宋体"/>
          <w:color w:val="auto"/>
          <w:sz w:val="20"/>
          <w:szCs w:val="20"/>
          <w:lang w:val="en-US" w:eastAsia="zh-CN"/>
        </w:rPr>
        <w:t>, so not proceed here any more.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lang w:eastAsia="zh-CN"/>
        </w:rPr>
      </w:pPr>
      <w:r>
        <w:rPr>
          <w:rFonts w:hint="eastAsia"/>
          <w:lang w:val="en-US" w:eastAsia="zh-CN"/>
        </w:rPr>
        <w:t>2.1 RLM</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Since the mTRP based RLM is decided not to proceed any more, so for the potential enhancement of RLM, only the potential beam sweeping enhancement needs to be considered. However, for RLM, the beam sweeping factor is N = 1 provided that the CSI-RS for RLM is not in a resource set configured with repetition ON based on current [3]. So during CSI-RS based RLM procedure, not any Rx beam sweeping performed by UE. Regarding to the SSB based RLM, if only intra-cell mTRP considered, then we can not improve RLM through multi-panel Rx since all TRPs share same SSB configuration.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current spec, for RLM, the beam sweeping factor is N=1 provided that the CSI-RS for RLM is not in a resource set configured with repetition 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only intra-cell mTRP considered, then we can not improve RLM through multi-panel Rx since all TRPs share same SSB configuration.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Since the beam sweeping factor is N=1 for CSI-RS based RLM, of course no room to enhance the beam sweeping factor through multi-panel Rx.</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1: Since the beam sweeping factor is N=1 for CSI-RS based RLM, so no room to enhance the beam sweeping factor through multi-panel Rx.</w:t>
      </w:r>
    </w:p>
    <w:p>
      <w:pPr>
        <w:pStyle w:val="3"/>
        <w:numPr>
          <w:ilvl w:val="0"/>
          <w:numId w:val="0"/>
        </w:numPr>
        <w:bidi w:val="0"/>
        <w:ind w:leftChars="0"/>
        <w:rPr>
          <w:rFonts w:hint="eastAsia"/>
          <w:lang w:val="en-US" w:eastAsia="zh-CN"/>
        </w:rPr>
      </w:pPr>
      <w:r>
        <w:rPr>
          <w:rFonts w:hint="eastAsia"/>
          <w:lang w:val="en-US" w:eastAsia="zh-CN"/>
        </w:rPr>
        <w:t>2.2 BFD/CBD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For the BFD/CBD, TRP specific enhancement on BFD/CBD has been supported in Rel-16/17, but only enhanced for SSB based. For CSI-RS based BFD/CBD, similar as RLM, TRP specific enhancement is not supported in RAN1. From RAN1 perspective, the TRP specific enhancement lies in UE measurements multiple BFD SSB sets in TDM manner.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CSI-RS based BFD/CBD, similar as the analysis for CSI-RS based RLM, Even though the mTRP based BFD/CBD is not supported from RAN1 perspective, while for the UE capable of simultaneous multi-panel reception, in fact the UE is able to receive multiple CSI-RSs transmitted from different TRPs simultaneously from multiple panels. Therefore the evaluation period for </w:t>
      </w:r>
      <w:r>
        <w:t>T</w:t>
      </w:r>
      <w:r>
        <w:rPr>
          <w:vertAlign w:val="subscript"/>
        </w:rPr>
        <w:t>Evaluate_BFD_CSI-RS</w:t>
      </w:r>
      <w:r>
        <w:rPr>
          <w:rFonts w:ascii="Times New Roman" w:hAnsi="Times New Roman"/>
        </w:rPr>
        <w:t xml:space="preserve"> and </w:t>
      </w:r>
      <w:r>
        <w:t>T</w:t>
      </w:r>
      <w:r>
        <w:rPr>
          <w:vertAlign w:val="subscript"/>
        </w:rPr>
        <w:t>Evaluate_</w:t>
      </w:r>
      <w:r>
        <w:rPr>
          <w:rFonts w:hint="eastAsia" w:eastAsia="宋体"/>
          <w:vertAlign w:val="subscript"/>
          <w:lang w:val="en-US" w:eastAsia="zh-CN"/>
        </w:rPr>
        <w:t>CBD</w:t>
      </w:r>
      <w:r>
        <w:rPr>
          <w:vertAlign w:val="subscript"/>
        </w:rPr>
        <w:t>_CSI-RS</w:t>
      </w:r>
      <w:r>
        <w:rPr>
          <w:rFonts w:hint="eastAsia" w:eastAsia="宋体"/>
          <w:color w:val="auto"/>
          <w:sz w:val="20"/>
          <w:szCs w:val="20"/>
          <w:lang w:val="en-US" w:eastAsia="zh-CN"/>
        </w:rPr>
        <w:t xml:space="preserve"> can reduce accordingly for FR2. </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If multiple CSI-RSs used for BFD/CBD configured for the UE, for the UE capable of simultaneous multi-panel reception, the UE is able to receive multiple CSI-RSs transmitted from different TRPs simultaneously from multiple panels. Therefore the evaluation period for </w:t>
      </w:r>
      <w:r>
        <w:rPr>
          <w:b/>
          <w:bCs/>
        </w:rPr>
        <w:t>T</w:t>
      </w:r>
      <w:r>
        <w:rPr>
          <w:b/>
          <w:bCs/>
          <w:vertAlign w:val="subscript"/>
        </w:rPr>
        <w:t>Evaluate_BFD_CSI-RS</w:t>
      </w:r>
      <w:r>
        <w:rPr>
          <w:rFonts w:hint="eastAsia" w:eastAsia="宋体" w:cs="Times New Roman"/>
          <w:b/>
          <w:bCs/>
          <w:color w:val="auto"/>
          <w:sz w:val="20"/>
          <w:szCs w:val="20"/>
          <w:highlight w:val="none"/>
          <w:lang w:val="en-US" w:eastAsia="zh-CN" w:bidi="ar-SA"/>
        </w:rPr>
        <w:t xml:space="preserve"> and </w:t>
      </w:r>
      <w:r>
        <w:rPr>
          <w:b/>
          <w:bCs/>
        </w:rPr>
        <w:t>T</w:t>
      </w:r>
      <w:r>
        <w:rPr>
          <w:b/>
          <w:bCs/>
          <w:vertAlign w:val="subscript"/>
        </w:rPr>
        <w:t>Evaluate_</w:t>
      </w:r>
      <w:r>
        <w:rPr>
          <w:rFonts w:hint="eastAsia" w:eastAsia="宋体"/>
          <w:b/>
          <w:bCs/>
          <w:vertAlign w:val="subscript"/>
          <w:lang w:val="en-US" w:eastAsia="zh-CN"/>
        </w:rPr>
        <w:t>CBD</w:t>
      </w:r>
      <w:r>
        <w:rPr>
          <w:b/>
          <w:bCs/>
          <w:vertAlign w:val="subscript"/>
        </w:rPr>
        <w:t>_CSI-RS</w:t>
      </w:r>
      <w:r>
        <w:rPr>
          <w:rFonts w:hint="eastAsia" w:eastAsia="宋体" w:cs="Times New Roman"/>
          <w:b/>
          <w:bCs/>
          <w:color w:val="auto"/>
          <w:sz w:val="20"/>
          <w:szCs w:val="20"/>
          <w:highlight w:val="none"/>
          <w:lang w:val="en-US" w:eastAsia="zh-CN" w:bidi="ar-SA"/>
        </w:rPr>
        <w:t xml:space="preserve"> can reduce accordingly.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Regarding to the beam sweeping factor, according to current spec, for CSI-RS based BFD, similar as that for CSI-RS based RLM, the beam sweeping factor is N=1 provided that the CSI-RS for RLM is not in a resource set configured with repetition ON. So no room to reduce the beam sweeping factor. While for CSI-RS based CBD, it is specified that the beam scaling factor N=8 for FR2-1 and N=12 for FR2-2, it seems that the beam sweeping can be enhanced through multi-panel reception. However similar as the analysis in our another paper</w:t>
      </w:r>
      <w:r>
        <w:rPr>
          <w:rFonts w:hint="eastAsia" w:eastAsia="宋体"/>
          <w:color w:val="auto"/>
          <w:sz w:val="20"/>
          <w:szCs w:val="20"/>
          <w:highlight w:val="none"/>
          <w:lang w:val="en-US" w:eastAsia="zh-CN"/>
        </w:rPr>
        <w:t>[4]</w:t>
      </w:r>
      <w:r>
        <w:rPr>
          <w:rFonts w:hint="eastAsia" w:eastAsia="宋体"/>
          <w:color w:val="auto"/>
          <w:sz w:val="20"/>
          <w:szCs w:val="20"/>
          <w:lang w:val="en-US" w:eastAsia="zh-CN"/>
        </w:rPr>
        <w:t>, whether the beam sweeping reduction can be realized, which depends on the exact beam sweeping operation. If the beam sweeping is performed through a single panel down-selected by some rough beam info, it seems no room to reduce the beam sweeping factor. We are open to further discuss it.</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3: Since the beam sweeping factor is N=1 for CSI-RS based BFD, so no room to enhance the beam sweeping factor through multi-panel Rx. For CSI-RS based CBD, the assumption of beam sweeping factor is N=8 for FR2-1 and N=12 for FR2-2, however, whether the beam sweeping factor can be reduced through multi-panel reception, it depends on the beam sweeping is performed through a single panel down-selected by some rough beam info or not. We are open to further discuss.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RLM, BFD/CBD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Based on current spec, for RLM, the beam sweeping factor is N=1 provided that the CSI-RS for RLM is not in a resource set configured with repetition ON.</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If only intra-cell mTRP considered, then we can not improve RLM through multi-panel Rx since all TRPs share same SSB configuration.</w:t>
      </w:r>
    </w:p>
    <w:p>
      <w:pPr>
        <w:pStyle w:val="8"/>
        <w:tabs>
          <w:tab w:val="left" w:pos="226"/>
          <w:tab w:val="left" w:pos="284"/>
          <w:tab w:val="left" w:pos="5103"/>
        </w:tabs>
        <w:snapToGrid w:val="0"/>
        <w:spacing w:before="156" w:beforeLines="50"/>
        <w:rPr>
          <w:rFonts w:hint="eastAsia"/>
          <w:lang w:val="en-US" w:eastAsia="zh-CN"/>
        </w:rPr>
      </w:pPr>
      <w:r>
        <w:rPr>
          <w:rFonts w:hint="eastAsia" w:eastAsia="宋体" w:cs="Times New Roman"/>
          <w:b/>
          <w:bCs/>
          <w:color w:val="auto"/>
          <w:sz w:val="20"/>
          <w:szCs w:val="20"/>
          <w:highlight w:val="none"/>
          <w:lang w:val="en-US" w:eastAsia="zh-CN" w:bidi="ar-SA"/>
        </w:rPr>
        <w:t>Proposal 1: Since the beam sweeping factor is N=1 for CSI-RS based RLM, so no room to enhance the beam sweeping factor through multi-panel Rx.</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If multiple CSI-RSs used for BFD/CBD configured for the UE, for the UE capable of simultaneous multi-panel reception, the UE is able to receive multiple CSI-RSs transmitted from different TRPs simultaneously from multiple panels. Therefore the evaluation period for </w:t>
      </w:r>
      <w:r>
        <w:rPr>
          <w:b/>
          <w:bCs/>
        </w:rPr>
        <w:t>T</w:t>
      </w:r>
      <w:r>
        <w:rPr>
          <w:b/>
          <w:bCs/>
          <w:vertAlign w:val="subscript"/>
        </w:rPr>
        <w:t>Evaluate_BFD_CSI-RS</w:t>
      </w:r>
      <w:r>
        <w:rPr>
          <w:rFonts w:hint="eastAsia" w:eastAsia="宋体" w:cs="Times New Roman"/>
          <w:b/>
          <w:bCs/>
          <w:color w:val="auto"/>
          <w:sz w:val="20"/>
          <w:szCs w:val="20"/>
          <w:highlight w:val="none"/>
          <w:lang w:val="en-US" w:eastAsia="zh-CN" w:bidi="ar-SA"/>
        </w:rPr>
        <w:t xml:space="preserve"> and </w:t>
      </w:r>
      <w:r>
        <w:rPr>
          <w:b/>
          <w:bCs/>
        </w:rPr>
        <w:t>T</w:t>
      </w:r>
      <w:r>
        <w:rPr>
          <w:b/>
          <w:bCs/>
          <w:vertAlign w:val="subscript"/>
        </w:rPr>
        <w:t>Evaluate_</w:t>
      </w:r>
      <w:r>
        <w:rPr>
          <w:rFonts w:hint="eastAsia" w:eastAsia="宋体"/>
          <w:b/>
          <w:bCs/>
          <w:vertAlign w:val="subscript"/>
          <w:lang w:val="en-US" w:eastAsia="zh-CN"/>
        </w:rPr>
        <w:t>CBD</w:t>
      </w:r>
      <w:r>
        <w:rPr>
          <w:b/>
          <w:bCs/>
          <w:vertAlign w:val="subscript"/>
        </w:rPr>
        <w:t>_CSI-RS</w:t>
      </w:r>
      <w:r>
        <w:rPr>
          <w:rFonts w:hint="eastAsia" w:eastAsia="宋体" w:cs="Times New Roman"/>
          <w:b/>
          <w:bCs/>
          <w:color w:val="auto"/>
          <w:sz w:val="20"/>
          <w:szCs w:val="20"/>
          <w:highlight w:val="none"/>
          <w:lang w:val="en-US" w:eastAsia="zh-CN" w:bidi="ar-SA"/>
        </w:rPr>
        <w:t xml:space="preserve"> can reduce accordingly. </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3: Since the beam sweeping factor is N=1 for CSI-RS based BFD, so no room to enhance the beam sweeping factor through multi-panel Rx. For CSI-RS based CBD, the assumption of beam sweeping factor is N=8 for FR2-1 and N=12 for FR2-2, however, whether the beam sweeping factor can be reduced through multi-panel reception, it depends on the beam sweeping is performed through a single panel down-selected by some rough beam info or not. We are open to further discuss.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7"/>
        </w:numPr>
        <w:ind w:leftChars="0"/>
        <w:rPr>
          <w:rFonts w:hint="eastAsia"/>
          <w:color w:val="auto"/>
          <w:highlight w:val="none"/>
          <w:lang w:val="en-US" w:eastAsia="zh-CN"/>
        </w:rPr>
      </w:pPr>
      <w:r>
        <w:rPr>
          <w:rFonts w:hint="eastAsia"/>
          <w:color w:val="auto"/>
          <w:highlight w:val="none"/>
          <w:lang w:val="en-US" w:eastAsia="zh-CN"/>
        </w:rPr>
        <w:t>R4-2306318 “WF on NR FR2 multi-Rx chain DL reception–Part 1”, vivo.</w:t>
      </w:r>
    </w:p>
    <w:p>
      <w:pPr>
        <w:pStyle w:val="9"/>
        <w:numPr>
          <w:ilvl w:val="0"/>
          <w:numId w:val="7"/>
        </w:numPr>
        <w:ind w:leftChars="0"/>
        <w:rPr>
          <w:rFonts w:hint="default"/>
          <w:color w:val="auto"/>
          <w:highlight w:val="none"/>
          <w:lang w:val="en-US" w:eastAsia="zh-CN"/>
        </w:rPr>
      </w:pPr>
      <w:r>
        <w:rPr>
          <w:rFonts w:hint="eastAsia"/>
          <w:color w:val="auto"/>
          <w:highlight w:val="none"/>
          <w:lang w:val="en-US" w:eastAsia="zh-CN"/>
        </w:rPr>
        <w:t>TS 38.133-h90</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2C71936"/>
    <w:multiLevelType w:val="multilevel"/>
    <w:tmpl w:val="72C71936"/>
    <w:lvl w:ilvl="0" w:tentative="0">
      <w:start w:val="1"/>
      <w:numFmt w:val="decimal"/>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1146"/>
        </w:tabs>
        <w:ind w:left="1146"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3"/>
  </w:num>
  <w:num w:numId="3">
    <w:abstractNumId w:val="4"/>
  </w:num>
  <w:num w:numId="4">
    <w:abstractNumId w:val="1"/>
  </w:num>
  <w:num w:numId="5">
    <w:abstractNumId w:val="2"/>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BB5AB9"/>
    <w:rsid w:val="05C42923"/>
    <w:rsid w:val="05F562DB"/>
    <w:rsid w:val="0611163E"/>
    <w:rsid w:val="064D7C1A"/>
    <w:rsid w:val="06963BA6"/>
    <w:rsid w:val="06965F3C"/>
    <w:rsid w:val="07CD3CDD"/>
    <w:rsid w:val="084B363C"/>
    <w:rsid w:val="0855671D"/>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5E1212F"/>
    <w:rsid w:val="15ED3E9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AE612B"/>
    <w:rsid w:val="2605683C"/>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B0B5FA6"/>
    <w:rsid w:val="3B1210C9"/>
    <w:rsid w:val="3B270929"/>
    <w:rsid w:val="3B3D5571"/>
    <w:rsid w:val="3B5D276F"/>
    <w:rsid w:val="3B673620"/>
    <w:rsid w:val="3B9A1F29"/>
    <w:rsid w:val="3CB972C3"/>
    <w:rsid w:val="3CE4646B"/>
    <w:rsid w:val="3D5E7AA8"/>
    <w:rsid w:val="3D6F2596"/>
    <w:rsid w:val="3F5E503E"/>
    <w:rsid w:val="3F62033F"/>
    <w:rsid w:val="401A457A"/>
    <w:rsid w:val="405F175E"/>
    <w:rsid w:val="40737877"/>
    <w:rsid w:val="40A811A8"/>
    <w:rsid w:val="40C765F3"/>
    <w:rsid w:val="41C755BE"/>
    <w:rsid w:val="42424160"/>
    <w:rsid w:val="42B16B47"/>
    <w:rsid w:val="42EA1DDB"/>
    <w:rsid w:val="42F869D2"/>
    <w:rsid w:val="43553536"/>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E015C76"/>
    <w:rsid w:val="4E310026"/>
    <w:rsid w:val="4E3448DA"/>
    <w:rsid w:val="4E4A2325"/>
    <w:rsid w:val="4E702749"/>
    <w:rsid w:val="4EC85323"/>
    <w:rsid w:val="4EDB3464"/>
    <w:rsid w:val="4FD47992"/>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570903"/>
    <w:rsid w:val="55B1164D"/>
    <w:rsid w:val="55B4735E"/>
    <w:rsid w:val="55BB221D"/>
    <w:rsid w:val="55DB1478"/>
    <w:rsid w:val="56371459"/>
    <w:rsid w:val="56484633"/>
    <w:rsid w:val="56C72241"/>
    <w:rsid w:val="574B3EB2"/>
    <w:rsid w:val="57995B9F"/>
    <w:rsid w:val="58D0053D"/>
    <w:rsid w:val="59064002"/>
    <w:rsid w:val="595006D6"/>
    <w:rsid w:val="598C40A0"/>
    <w:rsid w:val="59B61150"/>
    <w:rsid w:val="59DA647E"/>
    <w:rsid w:val="5A556E1A"/>
    <w:rsid w:val="5C1166E3"/>
    <w:rsid w:val="5E2864D0"/>
    <w:rsid w:val="5E494511"/>
    <w:rsid w:val="5EB44FC0"/>
    <w:rsid w:val="5EB81F13"/>
    <w:rsid w:val="5EDA64BC"/>
    <w:rsid w:val="5FBA395F"/>
    <w:rsid w:val="60B92183"/>
    <w:rsid w:val="60EC2CBA"/>
    <w:rsid w:val="61661B78"/>
    <w:rsid w:val="61CC2D28"/>
    <w:rsid w:val="62966A9E"/>
    <w:rsid w:val="62DE3B93"/>
    <w:rsid w:val="630C63B9"/>
    <w:rsid w:val="63454F29"/>
    <w:rsid w:val="635902CD"/>
    <w:rsid w:val="642A3E76"/>
    <w:rsid w:val="645E1DDB"/>
    <w:rsid w:val="64706BBE"/>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C8E0C06"/>
    <w:rsid w:val="6D566F0F"/>
    <w:rsid w:val="6D836F72"/>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60F5DAE"/>
    <w:rsid w:val="762D64F3"/>
    <w:rsid w:val="767E7EFF"/>
    <w:rsid w:val="769550C6"/>
    <w:rsid w:val="775B4604"/>
    <w:rsid w:val="77C067C3"/>
    <w:rsid w:val="77EA64D7"/>
    <w:rsid w:val="78911E31"/>
    <w:rsid w:val="7922350F"/>
    <w:rsid w:val="792B5470"/>
    <w:rsid w:val="79762E65"/>
    <w:rsid w:val="79C637D8"/>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2023-05-15T13:56:07Z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